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№6921 (Мурманск) от 11 марта 2015
</w:t>
      </w:r>
    </w:p>
    <w:p>
      <w:pPr/>
      <w:r>
        <w:rPr/>
        <w:t xml:space="preserve">Добрый день. Нужна литература по теме "Декаданс в литературе: история, основные идеи и тд."
Здравствуйте, Екатерина. Предлагаем Вам библиографический список:
Книги
83.3(2=Евр)-8Бялик; Б24 Бар-Йосеф, Х. Хаим Нахман Бялик: европейский декаданс и русский символизм в творчестве еврейского поэта / Хамуталь Бар-Йосеф ; [пер. с иврита Е. Тартаковской под ред. З. Копельман]. – Москва : Мосты культуры ; Иерусалим : Гешарим, 2012 (макет 2013). - 405 с. (1723688 - ХР)
83.3(2=Рус)5-45я73; К89 Кузьмина, С. Ф. История русской литературы XX века : поэзия Серебряного века : учеб. пособие / С. Ф. Кузьмина. - 2-е изд. – Москва : Флинта : Наука, 2009. – 395 с. (1694871 - ЧЗ ; 1694872 - АБ)
Статьи
Березовая, Л. Г. Серебряный век: между Ренессансом и декадансом / Л. Г. Березовая // Русская история. - 2014. - № 1. - С. 80-88.
Ронен, О. Декаданс / О. Ронен // Звезда. - 2007. - № 5. - С. 222-229.
Россинская, С. В. Шарль Бодлер - первый декадент Европы и главный символ эпохи, или Впечатлительный человек с больным воображением и дурным характером / С. В. Россинская // Новая библиотека. - 2013. - № 19/20. - С. 11-29.
Татаринов, А. Шарль Бодлер и Юрий Кузнецов: декаданс и его преодоление / Алексей Татаринов // Наш современник. - 2011. - № 2. - С. 204-217.
Электронные ресурсы (с текстами документов можно поработать в залах каталогов и электронных ресурсов на 3-м этаже библиотеки)
Буланов, В. В. Декадент как субъект культуры «Серебряного века» [Электронный ресурс] / Буланов В. В. // Вестник Тверского государственного технического университета. Серия: Науки об обществе и гуманитарные науки. – Электрон. дан. - 2013. - № 2. - С. 59-63. - Режим доступа: http://elibrary.ru, регламентир. (12.03.2015).
Долгенко, А. Н. Русский декаданс как форма выражения кризисного сознания в литературе и культуре рубежа XIX-XX веков [Электронный ресурс] / Долгенко А. Н. // Мировая литература в контексте культуры. – Электрон. дан. - 2010. - № 5. - С. 18-20. - Режим доступа: http://elibrary.ru, регламентир. (12.03.2015).
Мамонтова, А. А. Декаданс как заимствованная картина мира готической субкультуры [Электронный ресурс] / Мамонтова А. А. // Аналитика культурологии. – Электрон. дан. - 2014. - № 30. - С. 18-30. - Режим доступа: http://elibrary.ru, регламентир. (12.03.2015).
Нартыев, Н. Н. Декадентский извод в русской поэзии конца XIX – начала XX века (на материале творчества З. Гиппиус) (ст. 1) [Электронный ресурс] / Нартыев Н. Н. // Вестник Волгоградского государственного университета. Серия 8, Литературоведение. Журналистика. – Электрон. дан. - 2013. - № 12. - С. 132-139. - Режим доступа: http://elibrary.ru, регламентир. (12.03.2015).
Савельев, К. Н. Декаданс [Электронный ресурс] / Савельев К. Н. // Знание. Понимание. Умение. – Электрон. дан. - 2013. - № 1. - С. 286-287. - Режим доступа: http://elibrary.ru, регламентир. (12.03.2015).
Хвостов, Б. А. Литература декаданса в Германии (к современному состоянию проблемы) [Электронный ресурс] / Хвостов Б. А. // Новые российские гуманитарные исследования. – Электрон. дан. - 2012. - Т. 7, № 7. - С. 7. - Режим доступа: http://elibrary.ru, регламентир. (12.03.2015).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Виноградова, В. В. Генезис декаданса: между эстетской игрой и теургией / Виноградова В. В. // Литература в контексте современности : сб. материалов IV Междунар. науч.-метод. конф. / отв. ред. Т. Н. Маркова. - Челябинск, 2009. - С. 145-148.
Прокопьева, М. Ю. Декаданс как форма бесовщины в русской художественной литературе / Прокопьева М. Ю. // Вестник Курганского государственного университета. Серия: Гуманитарные науки. - 2009. - № 16. - С. 41-43.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2026-10-05T04:53:12+03:00</dcterms:created>
  <dcterms:modified xsi:type="dcterms:W3CDTF">2026-10-05T04:53:12+03:00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