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№7383 (Мурманская область) от 29 августа 2015
</w:t>
      </w:r>
    </w:p>
    <w:p>
      <w:pPr/>
      <w:r>
        <w:rPr/>
        <w:t xml:space="preserve">анализ правового регулирования сочетания государственных и частных интересов при организации национальных парков в России
Здравствуйте, Оксана Сергеевна.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67.407.03; О-92 Вышегородских, Е. В. Охраняемые природные территории в России: правовое регулирование = Protected areas in Russia: legal regulation / [Е. В. Вышегородских и др. ; под ред. А. С. Шестакова]. – Москва : Рос. представительство Всемир. фонда дикой природы, 2003. - XVI, 351 с., [2] л. ил. : табл. - (Законодательство России). (1633216 - ХР)
Статьи
Долинская, Л. М. Аренда и национальные парки / Л. М. Долинская // Закон. - 2005. - №  3. - С. 30-33.
Кузнецов, Д. О новеллах законодательства, регулирующего предоставление земельных участков в национальных парках / Д. Кузнецов // Хозяйство и право. - 2007. - № 6. - С. 65-67.
Электронные ресурсы
Лунева, Е. В. Публичный и частный интересы в области отношений, объектом которых является земельный участок особо охраняемых природных территорий [Электронный ресурс] / Лунева Е. В. // Ученые записки Казанского университета. Серия: Гуманитарные науки. – Электрон. дан. - 2012. - Т. 154, № 4. - С. 108-118. - Режим доступа: http://elibrary.ru, регламентир. (01.09.2015).
Петрова, Л. Н. Государственные природные и биосферные заповедники – особо охраняемые природные территории [Электронный ресурс] / Петрова Л. Н. // Молодежь и наука. – Электрон. дан. - 2013. - № 1. - С. 5. - Режим доступа: http://elibrary.ru, регламентир. (01.09.2015).
Статью можно также заказать из фондов других библиотек страны через электронную доставку документов для физических лиц:
Петрова, Л. Е. Экономика и организация заповедников и национальных парков / Петрова Л. Е. // Вопросы экономических наук. - 2012. - № 5. - С. 27-29.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2026-10-04T10:27:10+03:00</dcterms:created>
  <dcterms:modified xsi:type="dcterms:W3CDTF">2026-10-04T10:27:10+03:00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