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№7500 (Мурманск) от 6 октября 2015
</w:t>
      </w:r>
    </w:p>
    <w:p>
      <w:pPr/>
      <w:r>
        <w:rPr/>
        <w:t xml:space="preserve">Здравствуйте! Я обращалась к вам за библиографическим списком для диплома по теме "Истпарт и Гражданская война на Мурмане в 1930-е гг.". Вы просили уточнить: под указанными хронологическими рамками имею ввиду именно деятельность самого Истпарта, относящуюся к описанию событий Гражданской войны на Мурмане (трактовка, идеологические моменты и.т.п.). Также интересна информация о структуре Истпарта Мурманского округа. Сборник, который вы посоветовали, уже имеется
Здравствуйте. К сожалению, на Ваш запрос можем предоставить только следующий источник:
63.3(2Рос-4Му)кр ; А87 Архивы и историческое краеведение : материалы науч.-практ. конф., 3 дек. 2002 г. / Арх. упр. Мурм. обл., Гос. архив Мурм. обл., Мурм. гос. пед. ин-т ; [сост. Е. В. Федорова]. - Мурманск : Арх. упр. Мурм. обл., 2003. - 113 с. – Из содерж.: Деятельность Мурманской истпарткомиссии / П. В. Федоров. – С.10-17. (1611519 - ХР-ООЭ 1611520 - ХР-ООЭ).
За дополнительной информацией рекомендуем обратиться к фондам Государственного Архива Мурманской области: 183038, г. Мурманск, ул. Карла Либкнехта, дом 35. тел./факс (815-2) 42-30-33E-mail: archive-mo@mail.ru 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2026-10-04T05:42:09+03:00</dcterms:created>
  <dcterms:modified xsi:type="dcterms:W3CDTF">2026-10-04T05:42:09+03:00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