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№7512 (Мурманская область) от 7 октября 2015
</w:t>
      </w:r>
    </w:p>
    <w:p>
      <w:pPr/>
      <w:r>
        <w:rPr/>
        <w:t xml:space="preserve">Последние изменения в налоговом кодексе
Здравствуйте, Борис Борисович. Предлагаем Вам обзоры для ознакомления с последними изменениями в первой и второй частях «Налогового кодекса»:
Обзор изменений "Налогового кодекса Российской Федерации (часть первая)" от 31.07.1998 № 146-ФЗ [Электронный ресурс] / подгот. специалистами АО "Консультант Плюс". - Электрон. дан. - [М.] : КонсультантПлюс, 2015. - Режим доступа: СПС «КонсультантПлюс» (07.10.2015).
Обзор изменений "Налогового кодекса Российской Федерации (часть вторая)" от 05.08.2000 № 117-ФЗ [Электронный ресурс] / подгот. специалистами АО "Консультант Плюс". - Электрон. дан. - [М.] : КонсультантПлюс, 2015. - Режим доступа: СПС «КонсультантПлюс» (07.10.2015).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2026-10-04T05:30:53+03:00</dcterms:created>
  <dcterms:modified xsi:type="dcterms:W3CDTF">2026-10-04T05:30:53+03:00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