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№7592 (Мурманск) от 27 октября 2015
</w:t>
      </w:r>
    </w:p>
    <w:p>
      <w:pPr/>
      <w:r>
        <w:rPr/>
        <w:t xml:space="preserve">Личность и деятельность Патриарха Никона
Здравствуйте, Олеся. Предлагаем Вам библиографический список:
Книги
86.372 ; Л68 Лобачев, С. В. Патриарх Никон / С. В. Лобачев. - СПб. : Искусство-Санкт-Петербург, 2003. – 412 с. (1622170 – ХР)
86.372 ; П34 Писаренко, К. А. Тайны раскола. Взлет и падение патриарха Никона / К. Писаренко. - Москва : Вече, 2012. – 317 с. (1726519 – ХР ; 1726520 – АБ)
86.372 ; Р76 Российские судьбы : жизнеописания, факты и гипотезы, портр. и док. : в 30 кн. - Москва : Новатор, 1996.Кн. 8-9 : [Патриарх Никон. Протопоп Аввакум / сост. Десятников В. А.]. - 1996. - 414 с. (1556055 – ХР)
63.3(2)1 ; Р88 Русева, Л. Во славу и благо Отечества / Л. Русева. - Москва : Рус. слово, 2011. – 549 с. (1727764 – ЧЗ ; 1727765 – АБ)
86.372 ; С28 Севастьянова, С. К. Материалы к "Летописи жизни и литературной деятельности патриарха Никона" / С. К. Севастьянова. – Санкт-Петербург : Дмитрий Буланин, 2003. – 518 с. (1636377 – ХР)
Статьи
Румянцева, В. С. Патриарх Никон в отечественной историографии периода ее становления: конец XVIII - середина XIX века / В. С. Румянцева // Вопросы истории. - 2005. - № 10. - С. 156-161.
Русева, Л. Русская Палестина : [о патриархе Моск. и Всея Руси Никоне] / Л. Русева // Смена. - 2006. - № 6. - С. 22-31.
Шмидт, В. Жизнеописание Святейшего Патриарха Никона / В. Шмидт // Журнал Московской Патриархии. - 2002. - № 11. - С. 52-77.
Шмидт, В. Патриарх Никон и его эпоха / В. Шмидт // Власть. - 2008. - № 2. - C. 65-70.
См. также ответ на запрос № 5781, 4170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2026-10-04T02:23:41+03:00</dcterms:created>
  <dcterms:modified xsi:type="dcterms:W3CDTF">2026-10-04T02:23:41+03:00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