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№7746 (Мурманская область) от 30 ноября 2015
</w:t>
      </w:r>
    </w:p>
    <w:p>
      <w:pPr/>
      <w:r>
        <w:rPr/>
        <w:t xml:space="preserve">Военная символика, символика России, историческая преемственность, сущность и значения  225-летия взятия русскими войсками под командованием А.В. Суворова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68я2 ; В63 Военная символика. - Минск : Литература, 1997. – 542 с. (1560445 - ЦСС ; 1561099 – ХР)
63.2 ; Н16 Награды Второй мировой войны : [справочник]. - Москва : Олма Медиа Групп, 2011. – 302 с. (1707631 – ХР)
68.52 ; Ф81 Фотинов, Ю. Л. СССР - великая авиационная держава : символы и знаки : 1945-1991 / Ю. Л. Фотинов. - Москва : Реклама Мастер, 2010. - 236 с. (Ф-1709616 – ХР)
Статьи
Балашова, Л. Н. "Искусства воина, побед и славы знак! " / Л. Н. Балашова // Военно-исторический журнал. - 2005. - № 5. - С. 2-3.
Куличенко, В. Российский военно-морской флаг / В. Куличенко // Морской флот. - 2004. - № 5. - С. 42-43.
Платошкин, Н. Н.Пятиконечная звезда : история и современность / Н. Н. Платошкин // Военно-исторический журнал. - 2012. - № 7. - С. 77-79.
Пчелов, Е. В.Символика воинских регалий московских царей / Е. В. Пчелов // Власть. - 2009. - N 2. - С. 114-116.
Светлов, А. Военные геральдические знаки Главного управления Генерального штаба Вооруженных Сил Российской Федерации / А. Светлов // Родина. - 2012. - № 10. - С. 109-110.
Степко, Л. Якорь как основной типологический символ в мировой военно-морской символике / Степко Л. // Морской сборник - 2007. - № 9. - С. 49 - 52.
См. ответ на запрос № 7745 в архиве выполненных справок 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2026-10-03T19:57:27+03:00</dcterms:created>
  <dcterms:modified xsi:type="dcterms:W3CDTF">2026-10-03T19:57:27+03:00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