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 () от 30 марта 2009
</w:t>
      </w:r>
    </w:p>
    <w:p>
      <w:pPr/>
      <w:r>
        <w:rPr/>
        <w:t xml:space="preserve">культура Кольского полуострова
Здравствуйте Валентина.
Ваш запрос сформулирован очень широко, поэтому просим Вас уточнить, в каком контексте подбирать литературу: историческом или современном, национальном, культурной политики, организации и управления, деятельности учреждений культуры и т. п. Рекомендуем посмотреть ответы на запросы NN 78, 101, 140, 221, 353, 748, 757.
С уважением, заведующая библиографическим сектором Отдела краеведческой и саамской литературы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2026-10-18T10:29:28+03:00</dcterms:created>
  <dcterms:modified xsi:type="dcterms:W3CDTF">2026-10-18T10:29:28+03:00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