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№7928 (Мурманск) от 13 февраля 2016
</w:t>
      </w:r>
    </w:p>
    <w:p>
      <w:pPr/>
      <w:r>
        <w:rPr/>
        <w:t xml:space="preserve">РОЛЬ КОРПОРАТИВНОГО КОДЕКСА ЭТИКИ В МЕЖДУНАРОДНОЙ И РОССИЙСКОЙ ПРАКТИКЕ
Кайсина Е.А., Козловская В.А.
PR и реклама: традиции и инновации. 2012. № 7, ч. 2. С. 214-219.
Здравствуйте, Анна. Предлагаем Вам библиографическое описание статьи:
Кайсина, Е. А. Роль корпоративного кодекса этики в международной и российской практике [Текст] / Кайсина Е. А., Козловская В. А. // PR и реклама: традиции и инновации. - 2012. - № 7, ч. 2. - С. 214-219.
или
Кайсина, Е. А. Роль корпоративного кодекса этики в международной и российской практике [Текст] / Кайсина Е. А., Козловская В. А. // PR и реклама: традиции и инновации. 2012. № 7, ч. 2. С. 214-219.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2026-10-03T13:46:06+03:00</dcterms:created>
  <dcterms:modified xsi:type="dcterms:W3CDTF">2026-10-03T13:46:06+03:00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