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№8552 (Мурманская область) от 27 сентября 2016
</w:t>
      </w:r>
    </w:p>
    <w:p>
      <w:pPr/>
      <w:r>
        <w:rPr/>
        <w:t xml:space="preserve">необходимы книги или статьи по теме: " Почему подростки не хотят чиатоть?"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78.07 ; О-76 Остановиться. Оглянуться... : сб. информ. – аналит. материалов по проблемам чтения. - Москва : Межрегион. центр библ. сотрудничества, 2009. - 100 с. (Ф-1694728 – НМО ; Ф-1699842 – НМО)
Статьи
Колосова, Е. А. Перемены в чтении российских детей и подростков : результаты всерос. комплек. исслед. / Е. А. Колосова, В. П. Чудинова, А. Ю. Губанова  // Школьная библиотека. - 2014. - № 5. - С. 15-19.
Кутейникова, Н. Е. Чтение литературы о Великой Отечественной войне современными школьниками: размышления в процессе изучения прозы на уроках и вне их / Кутейникова Н. Е. // Литература в школе. - 2014. - № 5. - С. 21-27.
Мелентьева, Ю. Что показал опрос: современные тенденции в чтении молодых россиян / Ю. Мелентьева // Библиополе. - 2007. - № 12. - С. 13-15.
Порядина, М. Е. Макулатура для девочек / М. Е. Порядина // Библиография. - 2014. - № 2. - С. 77-82.
Руднев, В. Н. Осмысленное чтение и читательский инфантилизм: абстрактное мышление как средство познания внешнего мира / В. Н. Руднев // Библиотечное дело. - 2015. - № 22. - С. 20-22.
Русецкая, М. Н. Отчего люди не читают? / М. Н. Русецкая // Дефектология. - 2008. - № 1. - С. 92-94.
Степанова, Л. Ортодоксальное и парадоксальное в чтении современных детей: понимание и принятие как проблемы современной деятельности в Пространстве библиотеки / Л. С. // Библиотечное дело. - 2008. - № 1. - С. 5-8.
Степанова, М. И вкуса у слов больше нет?: в год литературы о праве быть читателем / М. Степанова // Школьный психолог - Первое сентября. - 2015. - № 5/6. - С. 8-12.
Черняк, М. А. Судьба читателя в эпоху "бублимира" / М. А. Черняк // Библиотечное дело. - 2010. - № 22. - С. 2-7.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2026-10-02T11:17:47+03:00</dcterms:created>
  <dcterms:modified xsi:type="dcterms:W3CDTF">2026-10-02T11:17:47+03:00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