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 () от 3 мая 2009
</w:t>
      </w:r>
    </w:p>
    <w:p>
      <w:pPr/>
      <w:r>
        <w:rPr/>
        <w:t xml:space="preserve">Особенности формирования информационной политики предприятия
Здравствуйте, Ирина. Предлагаем Вам библиографический список:
Статьи
Бурцева, Т. Исследование корпоративного имиджа / Т. Бурцева, Н. А. Миронова // Маркетинг. - 2008. – N 3. - С. 24-34. - Библиогр.: с. 34 (7 назв.).
Коваль, Л. Имидж фирмы как фактор ее конкурентоспособности / Л. Коваль // Интеллектуальная собственность: Промышленная собственность. - 2005. - N 9. - С. 33-40.
Мандрова, Н. Информационная политика публичных компаний : специфика, трудности, решения / Н. Мандрова // Рынок ценных бумаг. - 2007. - N 22. - С. 52-54.
Светличная, К. Без песни позитивной слабеет дух корпоративный / К. Светличная // Советник. - 2005. - N 2. - С. 54.
Соколов, В. Школа эффективных коммуникаций / В. Соколов // Советник. - 2005. - N 2. - С. 38-40.
Чалова, Е. PR строится на реальных событиях / Е. Чалова  // Советник. - 2007. - N 12. - С. 37-38.
Электронные ресурсы (с текстами документов можно поработать в Зале электронных ресурсов на 3-м этаже библиотеки)
Белоусова, Н. М. Формирование коммуникационной политики издательства [Электронный ресурс] : автореф. дис. … канд.  экон. наук : 08.00.05 / Белоусова Наталья Михайловна. - Электрон. дан. – М., 2006. – 24 с. – Режим доступа: http://diss.rsl.ru/diss.aspx?orig=/rsl01003000000/rsl01003290000/rsl01003290517/rsl01003290517.pdf, регламентир. (06.05.09).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2026-10-18T06:27:02+03:00</dcterms:created>
  <dcterms:modified xsi:type="dcterms:W3CDTF">2026-10-18T06:27:02+03:00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