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 (г.Витебск) от 7 мая 2009
</w:t>
      </w:r>
    </w:p>
    <w:p>
      <w:pPr/>
      <w:r>
        <w:rPr/>
        <w:t xml:space="preserve">Международные связи музеев
Здравствуйте, Екатерина. Предлагаем Вам библиографический список:
Статьи
Культурное наследие и туризм: проект хартии ИКОМ о принципах взаимоотношений музеев и культурного туризма // Мир музея. - 2007. - N 7. - С. 12.
Михайлова, Ю. Государство и столица : Моск. междунар. музейн. форум / Ю. Михайлова // Мир музея. - 2004. - N 3. - С. 2-7.
Папанова, Н. Перспектива. Созидание будущего: [о деятельности галереи HIART в сотрудничестве с московскими музеями] / Наталия Папанова // Мир музея. - 2008. - N 2. - С. 30-32.
Пиотровский, М. "Эрмитаж всегда был музеем современного искусства": [о подробностях альянса музея с Музеем Гуггенхайма] / Михаил Пиотровский ; [беседовала Ю. Попова] // Эксперт. - 2007. - N 4. - С. 77-78.
Розина, И. "Мы рождены для вдохновенья... ": [о социокультурном  проекте "А. С. Пушкин в Эстонии"] / И. Розина // Клуб. - 2008. - N 8. - С. 3-7.
Российский музей на международной конференции "EVA-2004 London" // Справочник руководителя учреждения культуры. - 2004. - N 12. - С. 38.
[Российско-германский проект] // Новый мир искусства. - 2007. - N 3. - С. 105.
Селезнева, Е. Л. Перспективы ИКОМ в России: [участие Третьяковской галереи и других российских музеев в международном музейном сообществе] / Е. Л. Селезнева ; беседовала Н. Трегуб // Мир музея. - 2007. - N 3. - С. 2-5. 
Селезнева, Е. ICOM / Е. Селезнева // Русское искусство. - 2009. - N 1. - С. 9.
Транснациональное сотрудничество провинциальных западных музеев // Панорама культурной жизни западных стран. – 2002. -  № 4. – С. 13-15. 
С уважением, библиограф Управления информационного обслуживания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2026-10-18T06:26:24+03:00</dcterms:created>
  <dcterms:modified xsi:type="dcterms:W3CDTF">2026-10-18T06:26:24+03:00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