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№9382 (Мурманск) от 12 июня 2017
</w:t>
      </w:r>
    </w:p>
    <w:p>
      <w:pPr/>
      <w:r>
        <w:rPr/>
        <w:t xml:space="preserve">Здравствуйте! Помогите пожалуйста подобрать материал на тему "Мусульманская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Книга
67.5 ; К48 Клейменов, И. М. Сравнительная криминология / И. М. Клеймёнов. - Москва : Норма : ИНФРА-М, 2014. - 367 с. - Библиогр. в подстроч. примеч. – Из содерж.: Гл. 5. Криминолого-правовые системы мусульманской правовой семьи. – С. 212-250. (1747359 – ХР)
Статья
Максименко, В. А. Категория прав человека в мусульманском праве / В. А. Максименко // Вестник Московского университета. Серия 11, Право. - 2004. - № 2. - С. 85-94.
Электронные ресурсы (с текстами документов можно поработать в зале электронных ресурсов на 3-м этаже библиотеки)
Емельянов, Б. М. Сравнительный анализ правовых систем (семей) современности: англосаксонская, романо-германская (континентальная), мусульманская правовые семьи [Электронный ресурс] / Емельянов Б. М., Сильчева А. А. // Вызовы глобального мира. Вестник ИМТП. - 2014. - № 4. - С. 34-37. – Режим доступа: https://elibrary.ru, регламентир. (13.06.2017).
Кича, М. В. Роль и значение обычая в мусульманской правовой семье [Электронный ресурс] / Кича М. В. // Юридическая наука. - 2013. - № 1. - С. 8-10. – Режим доступа: https://elibrary.ru, регламентир. (13.06.2017).
Рассказов, Л. П. Возникновение и развитие мусульманского права и его основных источников. Влияние вестернизации на правовые системы мусульманских стран и исламизации на страны романо-германской и англосаксонской правовых семей [Электронный ресурс] / Рассказов Л. П. // Политематический сетевой электронный научный журнал Кубанского государственного аграрного университета. - 2015. - № 111. -С. 173-191. - Режим доступа: https://elibrary.ru, регламентир. (13.06.2017).
Рассказов, Л. П. Основные источники права мусульманской правовой семьи. Влияние вестернизации на правовые системы мусульманских стран и исламизации на страны романо-германской и англосаксонской правовых семей [Электронный ресурс] / Рассказов Л. П. // Философия права. - 2014. - № 5 (66). - С. 51-54. - Режим доступа: https://elibrary.ru, регламентир. (13.06.2017).
См. также ответы на запросы №№  1523, 7833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электронных ресурсов, 3-й этаж, тел. для справок: 45-20-07, mba@mgounb.ru):
Актуальные проблемы гражданского законодательства: вопросы теории и практики : материалы общерос. науч.-практ. конф. (заоч.), 30 нояб. 2006 г. / [редкол.: ... Белянская О. В. (отв. ред.) и др.]. - Тамбов : Изд-во Першина Р. В., 2007. - 202 с. - Библиогр. в конце ст. – Из содерж.: Частное право в мусульманской правовой семье / Горшунов Д. Н. - С. 25-32.
Актуальные проблемы становления и развития российского конституционализма : [сб. науч. тр. Межвуз. науч. конф. студентов и молодых ученых (18 мая 2012 г. Орел) и "круглого стола" "Региональное и муниципальное правотворчество: состояние и перспективы развития в РФ" / под ред. Н. А. Щеголевой, Н. Н. Гашиной]. - Орел : [Изд-во ОФ РАНХиГС], 2013. - 270 с. - Библиогр. в подстроч. примеч. – Из содерж.: Источники права в мусульманской правовой семье / Бычков А. Г. - С. 43-47.
Клейменов, И. М. Сравнительная криминология: анализ правовых систем : монография / И. М. Клейменов ; Ом. ин-т предпринимательства и права. - Омск : Изд-во Ин-та предпринимательства и права, 2004. - 256 с. - Библиогр.: с. 243-256 (222 назв.) и в подстроч. примеч. – Из содерж.: Гл. 2 § 3. Характеристика мусульманской правовой семьи. – С. 88-110.
Состояние и перспективы борьбы с преступностью в России : Всерос. науч.-практ. конф. курсантов, слушателей, студентов, адъюнктов и соискателей : сб. материалов. - Воронеж : ВИ МВД России, 2007.Ч. 1, Юридические дисциплины. - 240 с. - Библиогр. в конце докл. – Из содерж.: Некоторые вопросы развития мусульманской правовой семьи в государственно-правовом аспекте / Гринева О. И. – С. 104-105.
Хромова, Е. Ю. Трансграничный брак = Cross-border marriages : междунар.-правовой аспект / Е. Ю. Хромова. - Москва : Юриспруденция, 2013. - 181 с. - Библиогр.: с. 161-180 (256 назв.) и в подстроч. примеч. – Из содерж.: § 1.2. Место международного брака в современном российском законодательстве и доктрине и странах мусульманской правовой семьи. – С. 33-50.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2026-10-01T03:04:59+03:00</dcterms:created>
  <dcterms:modified xsi:type="dcterms:W3CDTF">2026-10-01T03:04:59+03:00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