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№9466 (Мурманск) от 30 июля 2017
</w:t>
      </w:r>
    </w:p>
    <w:p>
      <w:pPr/>
      <w:r>
        <w:rPr/>
        <w:t xml:space="preserve">Уважаемые библиографы, есть ли  в фондах НБ работа: А.В. Хуторской Ключевые компетенции  2002г.?
Здравствуйте, Ирина. Предлагаем 2 статьи, интересующего Вас автора:
Хуторской, А. Ключевые компетенции как компонент личностно-ориентированной парадигмы образования / А. Хуторской // Народное образование. - 2003. - № 2. - С. 58-64.
Хуторской, А. Ключевые компетенции : технология конструирования / А. Хуторской // Народное образование. - 2003. - № 5. - С. 55-61.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2026-10-01T00:02:31+03:00</dcterms:created>
  <dcterms:modified xsi:type="dcterms:W3CDTF">2026-10-01T00:02:31+03:00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