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№9477 (Мурманск) от 9 августа 2017
</w:t>
      </w:r>
    </w:p>
    <w:p>
      <w:pPr/>
      <w:r>
        <w:rPr/>
        <w:t xml:space="preserve">Уважаемые библиографы, есть ли свободный доступ к статье Фалунина ЕВ, Фалунин ЛВ. Ташкенова ЛВ Научный взгляд на ценностные ориентиры и базовые принципы работы учителя в рамках ФГОС нового поколения/Проблемы социально-экономического развития Сибири 2014 №4 (18)
Здравствуйте, Ирина. Предлагаем библиографическое описание интересующей Вас статьи:
Фалунина, Е. В. Научный взгляд на ценностные ориентиры и базовые принципы работы учителя в рамках федеральных образовательных стандартов нового поколения [Электронный ресурс] / Е. В. Фалунина, Л. В. Ташкенова, С. Ф. Фалунин // Проблемы социально-экономического развития Сибири. - Электрон. дан. - 2014. - № 4. - С. 77-83. – Режим доступа: http://brstu.ru/static/unit/journal_2/docs/number-18/77-83.pdf (09.08.2017).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2026-10-01T00:01:15+03:00</dcterms:created>
  <dcterms:modified xsi:type="dcterms:W3CDTF">2026-10-01T00:01:15+03:00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