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 (Мурманск) от 4 июня 2009
</w:t>
      </w:r>
    </w:p>
    <w:p>
      <w:pPr/>
      <w:r>
        <w:rPr/>
        <w:t xml:space="preserve">Здравствуйте, необходима научная литература по теме "Промышленное развитие России в 1860-е – 1890-е гг." вышедшая в период с 2007 по 2009 годы. Заранее благодарю.
Здравствуйте, Иван. Предлагаем Вам библиографический список:
Книги
65.29 ; Р76 Российское предпринимательство в XIX – первой трети XX века: личности, фирмы, институциональная среда : материалы междунар. науч. конф., 19-21 окт. 2007 г. / [ред.-сост.: А. А. Семенов, А. Л. Дмитриев]. – СПб. : Нестор-История, 2007. - 367 с. - Библиогр. в подстроч. примеч. (1655591 – ХР)
65.428 ; Т56 Томпстон, С. Р. Российская внешняя торговля XIX - начала XX в.: организация и финансирование / Стюарт Росс Томпсон ; [пер. с англ. Ю. А. Петрова]. – М. : РОССПЭН, 2008. - 470 с. - Библиогр.: с. 455-469, в конце глав, в подстроч. примеч. и в тексте. (1664670 – ХР) 
Статьи
Гиндин, И. Ф. Государство и экономика в годы управления С. Ю. Витте / И. Ф. Гиндин // Вопросы истории. - 2007. -  N 1. - С. 100-124 ; N 2. – С. 78-93 ;  N5. – С. 91-117 ; N6. – С. 80-106 ;  N7. – С. 64-93 ; N11. – С. 79-110.
Корелин, А. П. Реформы П. А. Столыпина: исторический опыт и уроки / А. П. Корелин // Преподавание истории и обществознания в школе. - 2007. - N 9. - С. 3-11 ; N 10. – С.3-11.
Погребинская, В. А. Институциональные условия начала индустриализации России (последняя треть XIX - начало XX века) / В. А. Погребинская // Экономика и управление. - 2008. - N 5.- С. 110-117.
Погребинская, В. А. Промышленная политика России в конце XIX - начале XX в. / В. А. Погребинская // Вестник Московского университета. Сер. 6, Экономика. - 2008. - N 3. - С. 3-13.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2026-10-18T02:39:52+03:00</dcterms:created>
  <dcterms:modified xsi:type="dcterms:W3CDTF">2026-10-18T02:39:52+03:00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