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 (Москва) от 4 июня 2009
</w:t>
      </w:r>
    </w:p>
    <w:p>
      <w:pPr/>
      <w:r>
        <w:rPr/>
        <w:t xml:space="preserve">устав службы на судах флота РП РФ
Здравствуйте, Дима. Предлагаем библиографическое описание, интересующего Вас издания:
Об утверждении Устава службы на судах рыбопромыслового флота Российской Федерации [Электронный ресурс] : приказ Ком. РФ по рыболовству от 30 авг. 1995 г. N 140. – Электрон. дан. – [М.] : КонсультантПлюс, 1995. – Режим доступа: СПС КонсультантПлюс, регламентир. (05.06.09) ; То же // Российские вести. – 1995. – 2 нояб. (N 209) ; 9 нояб. (N 213). 
Вы также можете набрать в поисковой строке Яндекса: Устав службы на судах рыбопромыслового флота Российской Федерации, и получить свободный доступ к тексту документа.
С уважением, главный библиограф Управления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2026-10-18T02:32:53+03:00</dcterms:created>
  <dcterms:modified xsi:type="dcterms:W3CDTF">2026-10-18T02:32:53+03:00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