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№965 () от 7 июня 2009
</w:t>
      </w:r>
    </w:p>
    <w:p>
      <w:pPr/>
      <w:r>
        <w:rPr/>
        <w:t xml:space="preserve">Здравствуйте! Помогите с поиском литературы по теме: "Экономическая политика периода революции. «Военный коммунизм» и его значение", вышедшей после 2007. Заранее спасибо.
Здравствуйте, Вячеслав. Предлагаем Вам библиографический список:
Книги.
67.401я73 ; М92 Мухаев, Р. Т. История государственного управления в России / Р. Т. Мухаев. – М. : ЮНИТИ : НИТИ-Дана, 2007. - 607 с. (1653661 - ЧЗ ; 1653662 – АБ) 
65.03(2) ; Х15 Хазиев, Р. А. Централизованное управление экономикой на Урале в 1917-1921 годах : хаос, контроль и стихия рынка / Р. А. Хазиев. – М. : РОССПЭН, 2007. – 229 с. (1655211 – ХР)
Статьи.
Алешкин, П. Ф. Трагичный финал политики военного коммунизма в Советской России / П. Ф. Алешкин // Власть. - 2007. - N 8. - С. 92-97. 
Артемьев, А. А. Принципы формирования и функционирования национальной банковской системы в период 1917 по 1930 г. / А. А. Артемьев // Финансы и кредит. - 2008. - N 22. - С. 79-89. - Библиогр.: с. 88-89 (28 назв.).
Бельский, Э. Н. Политика большевиков в годы Гражданской войны / Э. Н. Бельский // Преподавание истории в школе. - 2008. - N 2. - С. 8-11.
Карелин, Е. Совет народного хозяйства в Западной области России / Е. Карелин // Государственная служба. - 2008. - N 5. - С. 171-176. - Библиогр.: с. 176 (4 назв.).
Мигущенко, О. Н. Основные этапы формирования правосознания в 1917-1934 годы / Мигущенко О. Н. // Юридический мир. - 2007. - N 9. - С. 68-72.
Миронов, Б. Когда в России жилось хорошо? : эпизод третий. 1914-1920 годы / Б. Миронов // Родина. - 2008. - N 6. - С. 11-15.
Дополнительную информацию Вы можете получить в Зале каталогов на 3-м  этаже библиотеки.  
С уважением, главный библиограф Управления информационного обслуживания Конина И. 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2026-10-18T01:39:13+03:00</dcterms:created>
  <dcterms:modified xsi:type="dcterms:W3CDTF">2026-10-18T01:39:13+03:00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