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№9923 (Мурманская область) от 2 февраля 2018
</w:t>
      </w:r>
    </w:p>
    <w:p>
      <w:pPr/>
      <w:r>
        <w:rPr/>
        <w:t xml:space="preserve">аннотация к статье Матузова, И. А. Влияние нетрадиционных приемов в изодеятельности на развитие творчества дошкольников
Здравствуйте, Елена.
Предлагаем библиографическое описание интересующего Вас издания:
88.6М; А43 Матузова, И. А. Влияние нетрадиционных приемов в изодеятельности на развитие творчества дошкольников / И. А. Матузова // Актуальные проблемы психологии в образовании : материалы межрегион. науч.-практ. конф. с междунар. участием, 1-3 апр. 2014 г. : в 2 т. / отв. ред. И. А. Синкевич [и др.]. – Мурманск, 2015. - Т. 2. - С. 37-38. (1750560 - ХР-ООЭ1750561 - ХР-ООЭ1750562 - ХР-ООЭ)
Предлагаем аннотацию:
Использование нетрадиционных приемов рисования в работе по общему психическому и личностному развитию ребенка.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2026-09-29T02:48:33+03:00</dcterms:created>
  <dcterms:modified xsi:type="dcterms:W3CDTF">2026-09-29T02:48:33+03:00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